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2735CA" w:rsidTr="002735CA">
        <w:tc>
          <w:tcPr>
            <w:tcW w:w="3227" w:type="dxa"/>
          </w:tcPr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35CA">
              <w:rPr>
                <w:b/>
                <w:bCs/>
                <w:color w:val="000000"/>
                <w:sz w:val="26"/>
                <w:szCs w:val="26"/>
              </w:rPr>
              <w:t>ỦY BAN NHÂN DÂN</w:t>
            </w:r>
          </w:p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90BC1" wp14:editId="01F4B5F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185420</wp:posOffset>
                      </wp:positionV>
                      <wp:extent cx="809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4.6pt" to="107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FZtAEAALYDAAAOAAAAZHJzL2Uyb0RvYy54bWysU8GO0zAQvSPxD5bvNGklVkv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" strokecolor="black [3040]"/>
                  </w:pict>
                </mc:Fallback>
              </mc:AlternateContent>
            </w:r>
            <w:r w:rsidRPr="002735CA">
              <w:rPr>
                <w:b/>
                <w:bCs/>
                <w:color w:val="000000"/>
                <w:sz w:val="26"/>
                <w:szCs w:val="26"/>
              </w:rPr>
              <w:t>TỈNH HÀ NAM</w:t>
            </w:r>
          </w:p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color w:val="000000"/>
                <w:sz w:val="26"/>
                <w:szCs w:val="26"/>
              </w:rPr>
            </w:pPr>
            <w:r w:rsidRPr="002735CA">
              <w:rPr>
                <w:color w:val="000000"/>
                <w:sz w:val="26"/>
                <w:szCs w:val="26"/>
              </w:rPr>
              <w:t>Số: 43/2025/QĐ-UBND</w:t>
            </w:r>
          </w:p>
        </w:tc>
        <w:tc>
          <w:tcPr>
            <w:tcW w:w="6061" w:type="dxa"/>
          </w:tcPr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735CA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5B02E" wp14:editId="23749A5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185420</wp:posOffset>
                      </wp:positionV>
                      <wp:extent cx="1828800" cy="1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85pt,14.6pt" to="220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" strokecolor="black [3040]"/>
                  </w:pict>
                </mc:Fallback>
              </mc:AlternateContent>
            </w:r>
            <w:r w:rsidRPr="002735CA"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2735CA" w:rsidRPr="002735CA" w:rsidRDefault="002735CA" w:rsidP="00D9098F">
            <w:pPr>
              <w:pStyle w:val="NormalWeb"/>
              <w:spacing w:before="120" w:beforeAutospacing="0" w:after="120" w:afterAutospacing="0" w:line="240" w:lineRule="atLeast"/>
              <w:jc w:val="right"/>
              <w:rPr>
                <w:i/>
                <w:sz w:val="26"/>
                <w:szCs w:val="26"/>
              </w:rPr>
            </w:pPr>
            <w:r w:rsidRPr="002735CA">
              <w:rPr>
                <w:i/>
                <w:iCs/>
                <w:color w:val="000000"/>
                <w:sz w:val="26"/>
                <w:szCs w:val="26"/>
              </w:rPr>
              <w:t xml:space="preserve">Hà Nam, ngày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30 </w:t>
            </w:r>
            <w:r w:rsidRPr="002735CA">
              <w:rPr>
                <w:i/>
                <w:iCs/>
                <w:color w:val="000000"/>
                <w:sz w:val="26"/>
                <w:szCs w:val="26"/>
              </w:rPr>
              <w:t xml:space="preserve">tháng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5 </w:t>
            </w:r>
            <w:r w:rsidRPr="002735CA">
              <w:rPr>
                <w:i/>
                <w:iCs/>
                <w:color w:val="000000"/>
                <w:sz w:val="26"/>
                <w:szCs w:val="26"/>
              </w:rPr>
              <w:t>năm 2025</w:t>
            </w:r>
          </w:p>
        </w:tc>
      </w:tr>
    </w:tbl>
    <w:p w:rsidR="00D03C7A" w:rsidRPr="0010056B" w:rsidRDefault="00D03C7A" w:rsidP="0010056B">
      <w:pPr>
        <w:pStyle w:val="NormalWeb"/>
        <w:spacing w:before="120" w:beforeAutospacing="0" w:after="120" w:afterAutospacing="0" w:line="240" w:lineRule="atLeast"/>
        <w:jc w:val="center"/>
        <w:rPr>
          <w:b/>
          <w:sz w:val="28"/>
          <w:szCs w:val="28"/>
        </w:rPr>
      </w:pPr>
      <w:r w:rsidRPr="0010056B">
        <w:rPr>
          <w:b/>
          <w:bCs/>
          <w:color w:val="000000"/>
          <w:sz w:val="28"/>
          <w:szCs w:val="28"/>
        </w:rPr>
        <w:t>QUYẾT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Pr="0010056B">
        <w:rPr>
          <w:b/>
          <w:bCs/>
          <w:color w:val="000000"/>
          <w:sz w:val="28"/>
          <w:szCs w:val="28"/>
        </w:rPr>
        <w:t>ĐỊNH</w:t>
      </w:r>
    </w:p>
    <w:p w:rsidR="00D03C7A" w:rsidRDefault="000E28BB" w:rsidP="0010056B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834390</wp:posOffset>
                </wp:positionV>
                <wp:extent cx="1143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65.7pt" to="271.9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phtAEAALcDAAAOAAAAZHJzL2Uyb0RvYy54bWysU8GOEzEMvSPxD1HudKZbhN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" strokecolor="black [3040]"/>
            </w:pict>
          </mc:Fallback>
        </mc:AlternateContent>
      </w:r>
      <w:r w:rsidR="00D03C7A" w:rsidRPr="0010056B">
        <w:rPr>
          <w:b/>
          <w:bCs/>
          <w:color w:val="000000"/>
          <w:sz w:val="28"/>
          <w:szCs w:val="28"/>
        </w:rPr>
        <w:t>Sửa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đổi,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bổ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sung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một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số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điều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của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Quy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chế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tiếp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công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dân,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tiếp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nhận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xử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lý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đơn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thư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khiếu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nại,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tố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cáo,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kiến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nghị,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phản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ánh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của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tỉnh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Hà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Nam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ban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hành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kèm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theo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Quyết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định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số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18/2024/QĐ-UBND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ngày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02/5/2024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của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Uỷ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ban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nhân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dân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tỉnh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Hà</w:t>
      </w:r>
      <w:r w:rsidR="002735CA" w:rsidRPr="0010056B">
        <w:rPr>
          <w:b/>
          <w:bCs/>
          <w:color w:val="000000"/>
          <w:sz w:val="28"/>
          <w:szCs w:val="28"/>
        </w:rPr>
        <w:t xml:space="preserve"> </w:t>
      </w:r>
      <w:r w:rsidR="00D03C7A" w:rsidRPr="0010056B">
        <w:rPr>
          <w:b/>
          <w:bCs/>
          <w:color w:val="000000"/>
          <w:sz w:val="28"/>
          <w:szCs w:val="28"/>
        </w:rPr>
        <w:t>Nam</w:t>
      </w:r>
    </w:p>
    <w:p w:rsidR="000E28BB" w:rsidRPr="0010056B" w:rsidRDefault="000E28BB" w:rsidP="0010056B">
      <w:pPr>
        <w:pStyle w:val="NormalWeb"/>
        <w:spacing w:before="120" w:beforeAutospacing="0" w:after="120" w:afterAutospacing="0" w:line="240" w:lineRule="atLeast"/>
        <w:jc w:val="center"/>
        <w:rPr>
          <w:b/>
          <w:sz w:val="28"/>
          <w:szCs w:val="28"/>
        </w:rPr>
      </w:pPr>
    </w:p>
    <w:p w:rsidR="00736E62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  <w:r w:rsidRPr="00E81FB9">
        <w:rPr>
          <w:i/>
          <w:color w:val="000000"/>
          <w:sz w:val="28"/>
          <w:szCs w:val="28"/>
        </w:rPr>
        <w:t>Căn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cứ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Luật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Tổ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chức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chính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quyền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địa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phương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ngày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19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tháng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02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năm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2025;</w:t>
      </w:r>
    </w:p>
    <w:p w:rsidR="00D03C7A" w:rsidRPr="00E81FB9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  <w:r w:rsidRPr="00E81FB9">
        <w:rPr>
          <w:i/>
          <w:color w:val="000000"/>
          <w:sz w:val="28"/>
          <w:szCs w:val="28"/>
        </w:rPr>
        <w:t>Căn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cứ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Luật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Tiếp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công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dân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ngày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25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tháng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11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năm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2013;</w:t>
      </w:r>
      <w:r w:rsidR="002735CA" w:rsidRPr="00E81FB9">
        <w:rPr>
          <w:i/>
          <w:color w:val="000000"/>
          <w:sz w:val="28"/>
          <w:szCs w:val="28"/>
        </w:rPr>
        <w:t xml:space="preserve"> </w:t>
      </w:r>
    </w:p>
    <w:p w:rsidR="00D03C7A" w:rsidRPr="00E81FB9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  <w:r w:rsidRPr="00E81FB9">
        <w:rPr>
          <w:i/>
          <w:color w:val="000000"/>
          <w:sz w:val="28"/>
          <w:szCs w:val="28"/>
        </w:rPr>
        <w:t>Căn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cứ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Nghị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định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số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64/2014/NĐ-CP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ngày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26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tháng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6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năm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2014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Chính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phủ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quy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định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chi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tiết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thi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một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số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điều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Luật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Tiếp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công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dân;</w:t>
      </w:r>
      <w:r w:rsidR="002735CA" w:rsidRPr="00E81FB9">
        <w:rPr>
          <w:i/>
          <w:color w:val="000000"/>
          <w:sz w:val="28"/>
          <w:szCs w:val="28"/>
        </w:rPr>
        <w:t xml:space="preserve"> </w:t>
      </w:r>
    </w:p>
    <w:p w:rsidR="00D03C7A" w:rsidRPr="00E81FB9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  <w:r w:rsidRPr="00E81FB9">
        <w:rPr>
          <w:i/>
          <w:color w:val="000000"/>
          <w:sz w:val="28"/>
          <w:szCs w:val="28"/>
        </w:rPr>
        <w:t>Theo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đề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nghị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Chánh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Thanh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tra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tỉnh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Nam;</w:t>
      </w:r>
      <w:r w:rsidR="002735CA" w:rsidRPr="00E81FB9">
        <w:rPr>
          <w:i/>
          <w:color w:val="000000"/>
          <w:sz w:val="28"/>
          <w:szCs w:val="28"/>
        </w:rPr>
        <w:t xml:space="preserve"> </w:t>
      </w:r>
    </w:p>
    <w:p w:rsidR="00D03C7A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  <w:r w:rsidRPr="00E81FB9">
        <w:rPr>
          <w:i/>
          <w:color w:val="000000"/>
          <w:sz w:val="28"/>
          <w:szCs w:val="28"/>
        </w:rPr>
        <w:t>Ủy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ban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nhân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dân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tỉnh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ban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Quyết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định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sửa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đổi,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bổ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sung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một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số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điều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Quy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chế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tiếp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công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dân,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tiếp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nhận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xử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lý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đơn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thư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khiếu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nại,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tố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cáo,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kiến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nghị,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phản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ánh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tỉnh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Nam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ban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kèm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theo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Quyết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định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số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18/2024/QĐ-UBND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ngày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02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tháng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5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năm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2024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của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Uỷ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ban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nhân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dân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tỉnh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Hà</w:t>
      </w:r>
      <w:r w:rsidR="002735CA" w:rsidRPr="00E81FB9">
        <w:rPr>
          <w:i/>
          <w:color w:val="000000"/>
          <w:sz w:val="28"/>
          <w:szCs w:val="28"/>
        </w:rPr>
        <w:t xml:space="preserve"> </w:t>
      </w:r>
      <w:r w:rsidRPr="00E81FB9">
        <w:rPr>
          <w:i/>
          <w:color w:val="000000"/>
          <w:sz w:val="28"/>
          <w:szCs w:val="28"/>
        </w:rPr>
        <w:t>Nam.</w:t>
      </w:r>
      <w:r w:rsidR="002735CA" w:rsidRPr="00E81FB9">
        <w:rPr>
          <w:i/>
          <w:color w:val="000000"/>
          <w:sz w:val="28"/>
          <w:szCs w:val="28"/>
        </w:rPr>
        <w:t xml:space="preserve"> </w:t>
      </w:r>
    </w:p>
    <w:p w:rsidR="00E81FB9" w:rsidRPr="00E81FB9" w:rsidRDefault="00E81FB9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color w:val="000000"/>
          <w:sz w:val="28"/>
          <w:szCs w:val="28"/>
        </w:rPr>
      </w:pPr>
    </w:p>
    <w:p w:rsidR="00D03C7A" w:rsidRPr="008C20ED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color w:val="000000"/>
          <w:sz w:val="28"/>
          <w:szCs w:val="28"/>
        </w:rPr>
      </w:pPr>
      <w:r w:rsidRPr="008C20ED">
        <w:rPr>
          <w:b/>
          <w:color w:val="000000"/>
          <w:sz w:val="28"/>
          <w:szCs w:val="28"/>
        </w:rPr>
        <w:t>Điều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1.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Sửa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đổi,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bổ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sung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một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số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điều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của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Quy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chế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tiếp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công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dân,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tiếp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nhận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xử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lý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đơn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thư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khiếu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nại,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tố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cáo,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kiến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nghị,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phản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ánh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của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tỉnh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Hà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Nam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ban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hành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kèm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theo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Quyết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định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số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18/2024/QĐ-UBND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ngày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02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tháng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5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năm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2024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của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Uỷ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ban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nhân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dân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tỉnh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Hà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Nam</w:t>
      </w:r>
      <w:r w:rsidR="002735CA" w:rsidRPr="008C20ED">
        <w:rPr>
          <w:b/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1.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Sửa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đổi,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sung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6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như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sau: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8C20ED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color w:val="000000"/>
          <w:sz w:val="28"/>
          <w:szCs w:val="28"/>
        </w:rPr>
      </w:pPr>
      <w:r w:rsidRPr="008C20ED">
        <w:rPr>
          <w:b/>
          <w:color w:val="000000"/>
          <w:sz w:val="28"/>
          <w:szCs w:val="28"/>
        </w:rPr>
        <w:t>“Điều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6.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Tiếp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công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dân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tại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Trụ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sở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tiếp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công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dân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của</w:t>
      </w:r>
      <w:r w:rsidR="002735CA" w:rsidRPr="008C20ED">
        <w:rPr>
          <w:b/>
          <w:color w:val="000000"/>
          <w:sz w:val="28"/>
          <w:szCs w:val="28"/>
        </w:rPr>
        <w:t xml:space="preserve"> </w:t>
      </w:r>
      <w:r w:rsidRPr="008C20ED">
        <w:rPr>
          <w:b/>
          <w:color w:val="000000"/>
          <w:sz w:val="28"/>
          <w:szCs w:val="28"/>
        </w:rPr>
        <w:t>tỉnh</w:t>
      </w:r>
      <w:r w:rsidR="002735CA" w:rsidRPr="008C20ED">
        <w:rPr>
          <w:b/>
          <w:color w:val="000000"/>
          <w:sz w:val="28"/>
          <w:szCs w:val="28"/>
        </w:rPr>
        <w:t xml:space="preserve"> </w:t>
      </w:r>
    </w:p>
    <w:p w:rsidR="00D03C7A" w:rsidRPr="00686D67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686D67">
        <w:rPr>
          <w:color w:val="000000"/>
          <w:sz w:val="28"/>
          <w:szCs w:val="28"/>
        </w:rPr>
        <w:t>1.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Trụ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sở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tiếp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công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dân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của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tỉnh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là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nơi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tiếp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công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dân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đến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khiếu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nại,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tố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cáo,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kiến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nghị,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phản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ánh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với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Tỉnh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ủy,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Đoàn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đại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biểu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Quốc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hội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và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Hội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đồng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nhân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dân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tỉnh,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Ủy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ban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nhân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dân</w:t>
      </w:r>
      <w:r w:rsidR="002735CA" w:rsidRPr="00686D67">
        <w:rPr>
          <w:color w:val="000000"/>
          <w:sz w:val="28"/>
          <w:szCs w:val="28"/>
        </w:rPr>
        <w:t xml:space="preserve"> </w:t>
      </w:r>
      <w:r w:rsidRPr="00686D67">
        <w:rPr>
          <w:color w:val="000000"/>
          <w:sz w:val="28"/>
          <w:szCs w:val="28"/>
        </w:rPr>
        <w:t>tỉnh.</w:t>
      </w:r>
      <w:r w:rsidR="002735CA" w:rsidRPr="00686D67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F81565">
        <w:rPr>
          <w:color w:val="000000"/>
          <w:sz w:val="28"/>
          <w:szCs w:val="28"/>
        </w:rPr>
        <w:t>2.</w:t>
      </w:r>
      <w:r w:rsidR="002735CA" w:rsidRPr="00F81565">
        <w:rPr>
          <w:color w:val="000000"/>
          <w:sz w:val="28"/>
          <w:szCs w:val="28"/>
        </w:rPr>
        <w:t xml:space="preserve"> </w:t>
      </w:r>
      <w:r w:rsidRPr="00F81565">
        <w:rPr>
          <w:color w:val="000000"/>
          <w:sz w:val="28"/>
          <w:szCs w:val="28"/>
        </w:rPr>
        <w:t>Tiếp</w:t>
      </w:r>
      <w:r w:rsidR="002735CA" w:rsidRPr="00F81565">
        <w:rPr>
          <w:color w:val="000000"/>
          <w:sz w:val="28"/>
          <w:szCs w:val="28"/>
        </w:rPr>
        <w:t xml:space="preserve"> </w:t>
      </w:r>
      <w:r w:rsidRPr="00F81565">
        <w:rPr>
          <w:color w:val="000000"/>
          <w:sz w:val="28"/>
          <w:szCs w:val="28"/>
        </w:rPr>
        <w:t>công</w:t>
      </w:r>
      <w:r w:rsidR="002735CA" w:rsidRPr="00F81565">
        <w:rPr>
          <w:color w:val="000000"/>
          <w:sz w:val="28"/>
          <w:szCs w:val="28"/>
        </w:rPr>
        <w:t xml:space="preserve"> </w:t>
      </w:r>
      <w:r w:rsidRPr="00F81565">
        <w:rPr>
          <w:color w:val="000000"/>
          <w:sz w:val="28"/>
          <w:szCs w:val="28"/>
        </w:rPr>
        <w:t>dân</w:t>
      </w:r>
      <w:r w:rsidR="002735CA" w:rsidRPr="00F81565">
        <w:rPr>
          <w:color w:val="000000"/>
          <w:sz w:val="28"/>
          <w:szCs w:val="28"/>
        </w:rPr>
        <w:t xml:space="preserve"> </w:t>
      </w:r>
      <w:r w:rsidRPr="00F81565">
        <w:rPr>
          <w:color w:val="000000"/>
          <w:sz w:val="28"/>
          <w:szCs w:val="28"/>
        </w:rPr>
        <w:t>định</w:t>
      </w:r>
      <w:r w:rsidR="002735CA" w:rsidRPr="00F81565">
        <w:rPr>
          <w:color w:val="000000"/>
          <w:sz w:val="28"/>
          <w:szCs w:val="28"/>
        </w:rPr>
        <w:t xml:space="preserve"> </w:t>
      </w:r>
      <w:r w:rsidRPr="00F81565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tháng.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trùng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nghỉ,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lễ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tham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gia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gồm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diện: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chính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Đoàn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biểu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Quốc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đồng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-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chính,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Thanh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nghiệp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Môi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lastRenderedPageBreak/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yêu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cầu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(thành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thể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mời).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c)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người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báo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pháp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3.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xuất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xuất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trong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hợp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khoản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3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18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2013.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người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báo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pháp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4.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xuyên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(Ban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-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chính)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trì,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phối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hợp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với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nhiệm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trí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xuyên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Phạm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nhận,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xử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nghị,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khoản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4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12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2013.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5.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dõi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cập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quả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mềm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dữ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liệu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Quốc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gia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về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cáo”.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2.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Sửa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đổi,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sung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7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như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sau: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80409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color w:val="000000"/>
          <w:sz w:val="28"/>
          <w:szCs w:val="28"/>
        </w:rPr>
      </w:pPr>
      <w:r w:rsidRPr="0080409F">
        <w:rPr>
          <w:b/>
          <w:color w:val="000000"/>
          <w:sz w:val="28"/>
          <w:szCs w:val="28"/>
        </w:rPr>
        <w:t>“Điều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7.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Tiếp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công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dân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tại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Trụ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sở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tiếp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công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dân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cấp</w:t>
      </w:r>
      <w:r w:rsidR="002735CA" w:rsidRPr="0080409F">
        <w:rPr>
          <w:b/>
          <w:color w:val="000000"/>
          <w:sz w:val="28"/>
          <w:szCs w:val="28"/>
        </w:rPr>
        <w:t xml:space="preserve"> </w:t>
      </w:r>
      <w:r w:rsidRPr="0080409F">
        <w:rPr>
          <w:b/>
          <w:color w:val="000000"/>
          <w:sz w:val="28"/>
          <w:szCs w:val="28"/>
        </w:rPr>
        <w:t>huyện</w:t>
      </w:r>
      <w:r w:rsidR="002735CA" w:rsidRPr="0080409F">
        <w:rPr>
          <w:b/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1.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nghị,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với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Thị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(sau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đây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gọi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chung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ủy),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đồng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2.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10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tháng.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trùng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nghỉ,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lễ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tham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gia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gồm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diện: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nghiệp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Môi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trường,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yêu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cầu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(thành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thể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mời).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c)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người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báo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pháp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lastRenderedPageBreak/>
        <w:t>3.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xuất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đột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xuất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trong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hợp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khoản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3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18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2013.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người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trì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báo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bằng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pháp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4.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xuyên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a)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nhiệm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phối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hợp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với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chuyên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môn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nhiệm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trí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thường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xuyên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làm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b)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Phạm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nhận,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xử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đơn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nghị,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khoản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4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Điều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13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Luật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2013.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5.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Việc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cấp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được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dõi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cập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nhật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quả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phần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mềm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dữ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liệu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Quốc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gia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về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cáo”.</w:t>
      </w:r>
      <w:r w:rsidR="002735CA">
        <w:rPr>
          <w:color w:val="000000"/>
          <w:sz w:val="28"/>
          <w:szCs w:val="28"/>
        </w:rPr>
        <w:t xml:space="preserve"> </w:t>
      </w:r>
    </w:p>
    <w:p w:rsidR="00D03C7A" w:rsidRP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EE0840">
        <w:rPr>
          <w:b/>
          <w:color w:val="000000"/>
          <w:sz w:val="28"/>
          <w:szCs w:val="28"/>
        </w:rPr>
        <w:t>Điều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2.</w:t>
      </w:r>
      <w:r w:rsidR="002735CA" w:rsidRPr="00D9098F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nội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dung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chế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nhận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xử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lý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đơn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thư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nghị,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Nam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kèm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theo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D9098F">
        <w:rPr>
          <w:color w:val="000000"/>
          <w:sz w:val="28"/>
          <w:szCs w:val="28"/>
        </w:rPr>
        <w:t>s</w:t>
      </w:r>
      <w:r w:rsidRPr="002735CA">
        <w:rPr>
          <w:color w:val="000000"/>
          <w:sz w:val="28"/>
          <w:szCs w:val="28"/>
        </w:rPr>
        <w:t>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18/2024/QĐ-UBND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02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tháng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5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2024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Ủy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Nam</w:t>
      </w:r>
      <w:r w:rsidRPr="00D9098F">
        <w:rPr>
          <w:color w:val="000000"/>
          <w:sz w:val="28"/>
          <w:szCs w:val="28"/>
        </w:rPr>
        <w:t>.</w:t>
      </w:r>
      <w:r w:rsidR="002735CA" w:rsidRPr="00D9098F">
        <w:rPr>
          <w:color w:val="000000"/>
          <w:sz w:val="28"/>
          <w:szCs w:val="28"/>
        </w:rPr>
        <w:t xml:space="preserve"> </w:t>
      </w:r>
    </w:p>
    <w:p w:rsidR="00D9098F" w:rsidRPr="00EE0840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color w:val="000000"/>
          <w:sz w:val="28"/>
          <w:szCs w:val="28"/>
        </w:rPr>
      </w:pPr>
      <w:r w:rsidRPr="00EE0840">
        <w:rPr>
          <w:b/>
          <w:color w:val="000000"/>
          <w:sz w:val="28"/>
          <w:szCs w:val="28"/>
        </w:rPr>
        <w:t>Điều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3.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Điều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khoản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thi</w:t>
      </w:r>
      <w:r w:rsidR="002735CA" w:rsidRPr="00EE0840">
        <w:rPr>
          <w:b/>
          <w:color w:val="000000"/>
          <w:sz w:val="28"/>
          <w:szCs w:val="28"/>
        </w:rPr>
        <w:t xml:space="preserve"> </w:t>
      </w:r>
      <w:r w:rsidRPr="00EE0840">
        <w:rPr>
          <w:b/>
          <w:color w:val="000000"/>
          <w:sz w:val="28"/>
          <w:szCs w:val="28"/>
        </w:rPr>
        <w:t>hành</w:t>
      </w:r>
      <w:r w:rsidR="002735CA" w:rsidRPr="00EE0840">
        <w:rPr>
          <w:b/>
          <w:color w:val="000000"/>
          <w:sz w:val="28"/>
          <w:szCs w:val="28"/>
        </w:rPr>
        <w:t xml:space="preserve"> </w:t>
      </w:r>
    </w:p>
    <w:p w:rsid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1.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Quyết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định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có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từ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ngày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10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tháng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6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năm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2025.</w:t>
      </w:r>
      <w:r w:rsidR="002735CA">
        <w:rPr>
          <w:color w:val="000000"/>
          <w:sz w:val="28"/>
          <w:szCs w:val="28"/>
        </w:rPr>
        <w:t xml:space="preserve"> </w:t>
      </w:r>
    </w:p>
    <w:p w:rsidR="00D9098F" w:rsidRDefault="00D03C7A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2735CA">
        <w:rPr>
          <w:color w:val="000000"/>
          <w:sz w:val="28"/>
          <w:szCs w:val="28"/>
        </w:rPr>
        <w:t>2.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Văn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phòng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Uỷ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Thanh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trưởng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thuộc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Chủ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tịch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Uỷ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ban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huyện,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thị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xã,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thành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phố;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quan,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tham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gia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nhân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liên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hệ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và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đến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thực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hiện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quyền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khiếu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nại,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tố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cáo,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kiến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nghị,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phản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ánh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tại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Trụ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sở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tiếp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công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dân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của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tỉnh;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các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tổ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chức,</w:t>
      </w:r>
      <w:r w:rsidR="002735CA">
        <w:rPr>
          <w:color w:val="000000"/>
          <w:sz w:val="28"/>
          <w:szCs w:val="28"/>
        </w:rPr>
        <w:t xml:space="preserve"> </w:t>
      </w:r>
      <w:r w:rsidRPr="002735CA">
        <w:rPr>
          <w:color w:val="000000"/>
          <w:sz w:val="28"/>
          <w:szCs w:val="28"/>
        </w:rPr>
        <w:t>cá</w:t>
      </w:r>
      <w:r w:rsidR="00D9098F">
        <w:rPr>
          <w:color w:val="000000"/>
          <w:sz w:val="28"/>
          <w:szCs w:val="28"/>
        </w:rPr>
        <w:t xml:space="preserve"> nhân 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9098F" w:rsidRPr="00D9098F" w:rsidTr="00EE0840">
        <w:trPr>
          <w:trHeight w:val="3173"/>
        </w:trPr>
        <w:tc>
          <w:tcPr>
            <w:tcW w:w="4644" w:type="dxa"/>
          </w:tcPr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D9098F">
              <w:rPr>
                <w:b/>
                <w:i/>
                <w:color w:val="000000"/>
              </w:rPr>
              <w:t xml:space="preserve">Nơi nhận: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Như Điều 3; </w:t>
            </w:r>
          </w:p>
          <w:p w:rsid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Vụ Pháp chế - Thanh tra Chính phủ; </w:t>
            </w:r>
          </w:p>
          <w:p w:rsid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Cục KTVB và QLXLVPHC - Bộ Tư pháp; </w:t>
            </w:r>
          </w:p>
          <w:p w:rsid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Ban Tiếp công dân Trung ương;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TTTU, TT HĐND tỉnh;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Chủ tịch UBND tỉnh;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Các Phó Chủ tịch UBND tỉnh;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Đoàn đại biểu Quốc hội tỉnh;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Cổng TTĐT tỉnh; </w:t>
            </w:r>
          </w:p>
          <w:p w:rsidR="00D9098F" w:rsidRPr="00D9098F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>- VPUB: LĐVP, KGVX(D), TCDNC;</w:t>
            </w:r>
          </w:p>
          <w:p w:rsidR="00D9098F" w:rsidRPr="00EE0840" w:rsidRDefault="00D9098F" w:rsidP="00EE084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9098F">
              <w:rPr>
                <w:color w:val="000000"/>
                <w:sz w:val="22"/>
                <w:szCs w:val="22"/>
              </w:rPr>
              <w:t xml:space="preserve">- Lưu: VT, TCDNC(H). </w:t>
            </w:r>
          </w:p>
        </w:tc>
        <w:tc>
          <w:tcPr>
            <w:tcW w:w="4644" w:type="dxa"/>
          </w:tcPr>
          <w:p w:rsidR="00D9098F" w:rsidRPr="00D9098F" w:rsidRDefault="00D9098F" w:rsidP="00D9098F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D9098F">
              <w:rPr>
                <w:b/>
                <w:color w:val="000000"/>
                <w:sz w:val="28"/>
                <w:szCs w:val="28"/>
              </w:rPr>
              <w:t>TM. ỦY BAN NHÂN DÂN</w:t>
            </w:r>
          </w:p>
          <w:p w:rsidR="00D9098F" w:rsidRPr="00D9098F" w:rsidRDefault="00D9098F" w:rsidP="00D9098F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D9098F">
              <w:rPr>
                <w:b/>
                <w:color w:val="000000"/>
                <w:sz w:val="28"/>
                <w:szCs w:val="28"/>
              </w:rPr>
              <w:t>KT. CHỦ TỊCH</w:t>
            </w:r>
          </w:p>
          <w:p w:rsidR="00D9098F" w:rsidRPr="00D9098F" w:rsidRDefault="00D9098F" w:rsidP="00D9098F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D9098F">
              <w:rPr>
                <w:b/>
                <w:color w:val="000000"/>
                <w:sz w:val="28"/>
                <w:szCs w:val="28"/>
              </w:rPr>
              <w:t>PHÓ CHỦ TỊCH</w:t>
            </w:r>
          </w:p>
          <w:p w:rsidR="00D9098F" w:rsidRDefault="00D9098F" w:rsidP="00D9098F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A6C0D" w:rsidRPr="00D9098F" w:rsidRDefault="005A6C0D" w:rsidP="00D9098F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9098F" w:rsidRPr="00EE0840" w:rsidRDefault="00D9098F" w:rsidP="00EE0840">
            <w:pPr>
              <w:pStyle w:val="NormalWeb"/>
              <w:spacing w:before="120" w:beforeAutospacing="0" w:after="120" w:afterAutospacing="0" w:line="240" w:lineRule="atLeast"/>
              <w:ind w:firstLine="34"/>
              <w:jc w:val="center"/>
              <w:rPr>
                <w:b/>
                <w:color w:val="000000"/>
                <w:sz w:val="28"/>
                <w:szCs w:val="28"/>
              </w:rPr>
            </w:pPr>
            <w:r w:rsidRPr="00D9098F">
              <w:rPr>
                <w:b/>
                <w:color w:val="000000"/>
                <w:sz w:val="28"/>
                <w:szCs w:val="28"/>
              </w:rPr>
              <w:t>Nguyễn Anh Chức</w:t>
            </w:r>
          </w:p>
        </w:tc>
      </w:tr>
    </w:tbl>
    <w:p w:rsidR="00E71AF3" w:rsidRPr="00D9098F" w:rsidRDefault="00E71AF3" w:rsidP="00D9098F">
      <w:pPr>
        <w:pStyle w:val="NormalWeb"/>
        <w:spacing w:before="12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</w:p>
    <w:sectPr w:rsidR="00E71AF3" w:rsidRPr="00D9098F" w:rsidSect="002735C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C8" w:rsidRDefault="003B32C8" w:rsidP="002735CA">
      <w:pPr>
        <w:spacing w:after="0" w:line="240" w:lineRule="auto"/>
      </w:pPr>
      <w:r>
        <w:separator/>
      </w:r>
    </w:p>
  </w:endnote>
  <w:endnote w:type="continuationSeparator" w:id="0">
    <w:p w:rsidR="003B32C8" w:rsidRDefault="003B32C8" w:rsidP="0027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C8" w:rsidRDefault="003B32C8" w:rsidP="002735CA">
      <w:pPr>
        <w:spacing w:after="0" w:line="240" w:lineRule="auto"/>
      </w:pPr>
      <w:r>
        <w:separator/>
      </w:r>
    </w:p>
  </w:footnote>
  <w:footnote w:type="continuationSeparator" w:id="0">
    <w:p w:rsidR="003B32C8" w:rsidRDefault="003B32C8" w:rsidP="0027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153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35CA" w:rsidRDefault="002735CA">
        <w:pPr>
          <w:pStyle w:val="Header"/>
          <w:jc w:val="center"/>
        </w:pPr>
        <w:r w:rsidRPr="002735CA">
          <w:rPr>
            <w:sz w:val="26"/>
            <w:szCs w:val="26"/>
          </w:rPr>
          <w:fldChar w:fldCharType="begin"/>
        </w:r>
        <w:r w:rsidRPr="002735CA">
          <w:rPr>
            <w:sz w:val="26"/>
            <w:szCs w:val="26"/>
          </w:rPr>
          <w:instrText xml:space="preserve"> PAGE   \* MERGEFORMAT </w:instrText>
        </w:r>
        <w:r w:rsidRPr="002735CA">
          <w:rPr>
            <w:sz w:val="26"/>
            <w:szCs w:val="26"/>
          </w:rPr>
          <w:fldChar w:fldCharType="separate"/>
        </w:r>
        <w:r w:rsidR="005A6C0D">
          <w:rPr>
            <w:noProof/>
            <w:sz w:val="26"/>
            <w:szCs w:val="26"/>
          </w:rPr>
          <w:t>2</w:t>
        </w:r>
        <w:r w:rsidRPr="002735CA">
          <w:rPr>
            <w:noProof/>
            <w:sz w:val="26"/>
            <w:szCs w:val="26"/>
          </w:rPr>
          <w:fldChar w:fldCharType="end"/>
        </w:r>
      </w:p>
    </w:sdtContent>
  </w:sdt>
  <w:p w:rsidR="002735CA" w:rsidRDefault="00273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7A"/>
    <w:rsid w:val="000E28BB"/>
    <w:rsid w:val="0010056B"/>
    <w:rsid w:val="00142498"/>
    <w:rsid w:val="0026660E"/>
    <w:rsid w:val="002735CA"/>
    <w:rsid w:val="003B32C8"/>
    <w:rsid w:val="005A6C0D"/>
    <w:rsid w:val="00686D67"/>
    <w:rsid w:val="00736E62"/>
    <w:rsid w:val="0080409F"/>
    <w:rsid w:val="008C20ED"/>
    <w:rsid w:val="00900B4A"/>
    <w:rsid w:val="00965D54"/>
    <w:rsid w:val="00B740FD"/>
    <w:rsid w:val="00D03C7A"/>
    <w:rsid w:val="00D9098F"/>
    <w:rsid w:val="00E71AF3"/>
    <w:rsid w:val="00E81FB9"/>
    <w:rsid w:val="00EE0840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C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CA"/>
  </w:style>
  <w:style w:type="paragraph" w:styleId="Footer">
    <w:name w:val="footer"/>
    <w:basedOn w:val="Normal"/>
    <w:link w:val="FooterChar"/>
    <w:uiPriority w:val="99"/>
    <w:unhideWhenUsed/>
    <w:rsid w:val="0027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CA"/>
  </w:style>
  <w:style w:type="table" w:styleId="TableGrid">
    <w:name w:val="Table Grid"/>
    <w:basedOn w:val="TableNormal"/>
    <w:uiPriority w:val="59"/>
    <w:rsid w:val="0027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C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CA"/>
  </w:style>
  <w:style w:type="paragraph" w:styleId="Footer">
    <w:name w:val="footer"/>
    <w:basedOn w:val="Normal"/>
    <w:link w:val="FooterChar"/>
    <w:uiPriority w:val="99"/>
    <w:unhideWhenUsed/>
    <w:rsid w:val="0027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CA"/>
  </w:style>
  <w:style w:type="table" w:styleId="TableGrid">
    <w:name w:val="Table Grid"/>
    <w:basedOn w:val="TableNormal"/>
    <w:uiPriority w:val="59"/>
    <w:rsid w:val="0027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86EA6-1A20-47B9-8250-D986D095BECE}"/>
</file>

<file path=customXml/itemProps2.xml><?xml version="1.0" encoding="utf-8"?>
<ds:datastoreItem xmlns:ds="http://schemas.openxmlformats.org/officeDocument/2006/customXml" ds:itemID="{98DEA329-471D-4750-A041-71AA81702001}"/>
</file>

<file path=customXml/itemProps3.xml><?xml version="1.0" encoding="utf-8"?>
<ds:datastoreItem xmlns:ds="http://schemas.openxmlformats.org/officeDocument/2006/customXml" ds:itemID="{F4222EDD-A0DC-47BF-ACFA-87259DCD7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2025-06-03T09:30:00Z</dcterms:created>
  <dcterms:modified xsi:type="dcterms:W3CDTF">2025-06-04T07:25:00Z</dcterms:modified>
</cp:coreProperties>
</file>